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705612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437100"/>
                          <a:ext cx="6436360" cy="68580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CAP.IV – Cofinanziamenti per assegni di ricerca post-dottorali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705612"/>
                <wp:effectExtent b="0" l="0" r="0" t="0"/>
                <wp:wrapTopAndBottom distB="0" dist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935" cy="705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3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90"/>
        <w:gridCol w:w="5190"/>
        <w:tblGridChange w:id="0">
          <w:tblGrid>
            <w:gridCol w:w="5190"/>
            <w:gridCol w:w="51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C4-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di ricerca italiana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della struttura di ricerca italiana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referente amministrativo/a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referente amministrativo/a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2"/>
        <w:gridCol w:w="5213"/>
        <w:tblGridChange w:id="0">
          <w:tblGrid>
            <w:gridCol w:w="5212"/>
            <w:gridCol w:w="5213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Voci di 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Costo dell’assegno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Spese di missioni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documento riepilogativo che riporti gli estremi dei pagamenti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delle rate dell’assegno di ricerca.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 giustificativi di spesa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(scontrini e fatture) per le spese di missioni.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Per la rendicontazione di missioni, è ammissibile anche la rendicontazione sotto forma di trattamento economico alternativo di missione, se previsto dall’amministrazione dell’Ateneo;</w:t>
      </w:r>
    </w:p>
    <w:p w:rsidR="00000000" w:rsidDel="00000000" w:rsidP="00000000" w:rsidRDefault="00000000" w:rsidRPr="00000000" w14:paraId="00000024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bookmarkStart w:colFirst="0" w:colLast="0" w:name="_heading=h.3zmx25s952tp" w:id="0"/>
      <w:bookmarkEnd w:id="0"/>
      <w:r w:rsidDel="00000000" w:rsidR="00000000" w:rsidRPr="00000000">
        <w:rPr>
          <w:sz w:val="24"/>
          <w:szCs w:val="24"/>
          <w:rtl w:val="0"/>
        </w:rPr>
        <w:t xml:space="preserve">-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questionario di valutazione progetto</w:t>
      </w:r>
      <w:r w:rsidDel="00000000" w:rsidR="00000000" w:rsidRPr="00000000">
        <w:rPr>
          <w:sz w:val="24"/>
          <w:szCs w:val="24"/>
          <w:rtl w:val="0"/>
        </w:rPr>
        <w:t xml:space="preserve"> reperibile alla seguente pagina: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965"/>
        <w:tblGridChange w:id="0">
          <w:tblGrid>
            <w:gridCol w:w="4965"/>
            <w:gridCol w:w="4965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della struttura di ricerca italiana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4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36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a………………………………………..…………… il ……………………………………</w:t>
      </w:r>
    </w:p>
    <w:p w:rsidR="00000000" w:rsidDel="00000000" w:rsidP="00000000" w:rsidRDefault="00000000" w:rsidRPr="00000000" w14:paraId="0000003C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4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4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8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4A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F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51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firstLine="0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0A139B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A13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L2kB+DLuzBGYaMWKsYSz//s8w==">CgMxLjAyDmguM3pteDI1czk1MnRwOAByITExZDdpRmtjTVFBalo0eWplaEN3QUl4TTRnam1HRVVDSw==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2011-12-19T16:02:00Z</dcterms:created>
  <dc:creator>Sicre</dc:creator>
</cp:coreProperties>
</file>