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88900</wp:posOffset>
                </wp:positionV>
                <wp:extent cx="6521133" cy="817546"/>
                <wp:effectExtent b="0" l="0" r="0" t="0"/>
                <wp:wrapTopAndBottom distB="0" distT="0"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2808"/>
                          <a:ext cx="6436360" cy="79438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5294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 – Corsi universitari binazionali: Laurea Magistrale/Master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88900</wp:posOffset>
                </wp:positionV>
                <wp:extent cx="6521133" cy="817546"/>
                <wp:effectExtent b="0" l="0" r="0" t="0"/>
                <wp:wrapTopAndBottom distB="0" distT="0"/>
                <wp:docPr id="10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133" cy="8175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7"/>
        <w:gridCol w:w="5108"/>
        <w:tblGridChange w:id="0">
          <w:tblGrid>
            <w:gridCol w:w="5107"/>
            <w:gridCol w:w="5108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umero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C1-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Dipartimento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responsabile 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" w:hanging="3"/>
        <w:jc w:val="center"/>
        <w:rPr>
          <w:b w:val="1"/>
          <w:color w:val="8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5"/>
        <w:gridCol w:w="1800"/>
        <w:tblGridChange w:id="0">
          <w:tblGrid>
            <w:gridCol w:w="8475"/>
            <w:gridCol w:w="180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Contributo ottenuto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€ 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Voci di spesa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degli studenti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dei docenti/ ricercatori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dei tecnici-amministrativi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di relatori esterni, figure professionali, visiting professor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(escluso eventuale compenso)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per attività di docenza/ interventi professionali nell’ambito del titolo congiunto/ doppio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per eventuali corsi di perfezionamento linguistico per i soli studenti regolarmente iscritti al titolo congiunto/ doppio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Spese di gestione per tutte le attività del presente finanziamento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(massimo il 10% forfettario del contributo assegnato)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1"/>
                <w:numId w:val="1"/>
              </w:numPr>
              <w:ind w:left="0" w:hanging="2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per eventi di benvenuto e servizi per l’accoglienza in loco degli studenti in mobilità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8.        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di organizzazione e/o partecipazione a convegni e/o seminari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(si veda nel dettaglio il regolamento per indicazioni sulle spese ammissibili riguardo questo punto)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A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sz w:val="24"/>
          <w:szCs w:val="24"/>
          <w:rtl w:val="0"/>
        </w:rPr>
        <w:t xml:space="preserve"> e copie dei giustificativi di spesa (scontrini, fatture…). Per la rendicontazione di missioni, è ammissibile anche la rendicontazione sotto forma di trattamento economico alternativo di missione, se previsto dall’amministrazione dell’Ateneo.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questionario di valutazione progetto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reperibile alla seguente pagina: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750"/>
        </w:tabs>
        <w:ind w:left="0" w:hanging="2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5"/>
        <w:gridCol w:w="4935"/>
        <w:tblGridChange w:id="0">
          <w:tblGrid>
            <w:gridCol w:w="4875"/>
            <w:gridCol w:w="4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responsabile italiano/a del corso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3B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3D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43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4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4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4B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4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4F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51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56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58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      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000ff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center" w:leader="none" w:pos="4749"/>
        <w:tab w:val="left" w:leader="none" w:pos="8430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hanging="284"/>
      </w:pPr>
      <w:rPr>
        <w:b w:val="1"/>
        <w:i w:val="0"/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b w:val="1"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1"/>
        <w:i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fr-FR" w:val="fr-FR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Times" w:hAnsi="Times"/>
      <w:b w:val="1"/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sz w:val="28"/>
      <w:lang w:eastAsia="it-IT" w:val="it-I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00AEA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semiHidden w:val="1"/>
    <w:unhideWhenUsed w:val="1"/>
    <w:rsid w:val="00FC580E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12Lp4MRhgESBhD/p++GBjk6rQ==">CgMxLjAyCWguMzBqMHpsbDIIaC5namRneHM4AHIhMXlYa2U2Nk5GeENZMmFncmJJR2V3cUtvc1IwREJXeHdI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2022-09-19T10:25:00Z</dcterms:created>
  <dc:creator>Sicre</dc:creator>
</cp:coreProperties>
</file>